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2">
      <w:pPr>
        <w:jc w:val="center"/>
        <w:rPr>
          <w:rFonts w:ascii="Lexend" w:cs="Lexend" w:eastAsia="Lexend" w:hAnsi="Lexend"/>
        </w:rPr>
      </w:pPr>
      <w:r>
        <w:rPr>
          <w:rFonts w:ascii="Lexend" w:cs="Lexend" w:eastAsia="Lexend" w:hAnsi="Lexend"/>
        </w:rPr>
        <w:drawing>
          <wp:inline distB="114300" distT="114300" distL="114300" distR="114300">
            <wp:extent cx="2086292" cy="32422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86292" cy="324221"/>
                    </a:xfrm>
                    <a:prstGeom prst="rect"/>
                    <a:ln/>
                  </pic:spPr>
                </pic:pic>
              </a:graphicData>
            </a:graphic>
          </wp:inline>
        </w:drawing>
      </w:r>
      <w:r>
        <w:rPr>
          <w:rtl w:val="0"/>
        </w:rPr>
      </w:r>
    </w:p>
    <w:p>
      <w:r>
        <w:rPr>
          <w:b/>
          <w:color w:val="5647D6"/>
          <w:sz w:val="36"/>
        </w:rPr>
        <w:t>Patient information</w:t>
      </w:r>
    </w:p>
    <w:p>
      <w:r>
        <w:rPr>
          <w:sz w:val="18"/>
        </w:rPr>
        <w:t>European Union / EEA · English · Cora AI</w:t>
      </w:r>
    </w:p>
    <w:p>
      <w:r>
        <w:rPr>
          <w:i/>
        </w:rPr>
        <w:t>Clinic / healthcare provider: [name, address]</w:t>
      </w:r>
    </w:p>
    <w:p>
      <w:r>
        <w:rPr>
          <w:i/>
        </w:rPr>
        <w:t>Privacy contact / Data Protection Officer where appointed: [contact details]</w:t>
      </w:r>
    </w:p>
    <w:p>
      <w:r>
        <w:t>Cora AI captures and transcribes consultation audio to help prepare a draft clinical note. The clinician reviews the note and remains responsible for your care. This document concerns the use of the assistant, not consent to medical treatment.</w:t>
      </w:r>
    </w:p>
    <w:p>
      <w:r>
        <w:t>You may decline use of Cora AI or ask the clinician to stop at any time without affecting your access to care. This does not automatically require deletion of clinical records that must be retained by law.</w:t>
      </w:r>
    </w:p>
    <w:p>
      <w:r>
        <w:t>For purposes, recipients, retention, processing locations, international transfers and your rights, see the clinic’s completed privacy information below. This sheet supplements that information; it does not replace it.</w:t>
      </w:r>
    </w:p>
    <w:p>
      <w:r>
        <w:rPr>
          <w:i/>
        </w:rPr>
        <w:t>Privacy notice and processing details: [link or attached notice; audio/transcript retention; processors; locations and transfer safeguards]</w:t>
      </w:r>
    </w:p>
    <w:p>
      <w:r>
        <w:t>The clinic is the controller of your personal data. Processing must have an appropriate basis under Article 6 and a condition under Article 9 of the GDPR, together with applicable national law. Permission to use this assistant does not by itself establish those legal bases. You may exercise applicable data protection rights and complain to the competent supervisory authority identified in the clinic’s privacy notice.</w:t>
      </w:r>
    </w:p>
    <w:p>
      <w:r>
        <w:rPr>
          <w:i/>
        </w:rPr>
        <w:t>Legal bases and competent supervisory authority: [complete for the clinic’s country and actual processing]</w:t>
      </w:r>
    </w:p>
    <w:p>
      <w:r>
        <w:rPr>
          <w:i/>
          <w:sz w:val="16"/>
        </w:rPr>
        <w:t>Complete the clinic details, confirm the processing arrangements and adapt the template to local requirements before use.</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en-GB"/>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F23E1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F23E1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23E1D"/>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23E1D"/>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F23E1D"/>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F23E1D"/>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F23E1D"/>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F23E1D"/>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F23E1D"/>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F23E1D"/>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F23E1D"/>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F23E1D"/>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F23E1D"/>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23E1D"/>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F23E1D"/>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23E1D"/>
    <w:rPr>
      <w:i w:val="1"/>
      <w:iCs w:val="1"/>
      <w:color w:val="404040" w:themeColor="text1" w:themeTint="0000BF"/>
    </w:rPr>
  </w:style>
  <w:style w:type="paragraph" w:styleId="Akapitzlist">
    <w:name w:val="List Paragraph"/>
    <w:basedOn w:val="Normalny"/>
    <w:uiPriority w:val="34"/>
    <w:qFormat w:val="1"/>
    <w:rsid w:val="00F23E1D"/>
    <w:pPr>
      <w:ind w:left="720"/>
      <w:contextualSpacing w:val="1"/>
    </w:pPr>
  </w:style>
  <w:style w:type="character" w:styleId="Wyrnienieintensywne">
    <w:name w:val="Intense Emphasis"/>
    <w:basedOn w:val="Domylnaczcionkaakapitu"/>
    <w:uiPriority w:val="21"/>
    <w:qFormat w:val="1"/>
    <w:rsid w:val="00F23E1D"/>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F23E1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F23E1D"/>
    <w:rPr>
      <w:i w:val="1"/>
      <w:iCs w:val="1"/>
      <w:color w:val="2f5496" w:themeColor="accent1" w:themeShade="0000BF"/>
    </w:rPr>
  </w:style>
  <w:style w:type="character" w:styleId="Odwoanieintensywne">
    <w:name w:val="Intense Reference"/>
    <w:basedOn w:val="Domylnaczcionkaakapitu"/>
    <w:uiPriority w:val="32"/>
    <w:qFormat w:val="1"/>
    <w:rsid w:val="00F23E1D"/>
    <w:rPr>
      <w:b w:val="1"/>
      <w:bCs w:val="1"/>
      <w:smallCaps w:val="1"/>
      <w:color w:val="2f5496" w:themeColor="accent1" w:themeShade="0000BF"/>
      <w:spacing w:val="5"/>
    </w:rPr>
  </w:style>
  <w:style w:type="character" w:styleId="Odwoaniedokomentarza">
    <w:name w:val="annotation reference"/>
    <w:basedOn w:val="Domylnaczcionkaakapitu"/>
    <w:uiPriority w:val="99"/>
    <w:semiHidden w:val="1"/>
    <w:unhideWhenUsed w:val="1"/>
    <w:rsid w:val="006559EE"/>
    <w:rPr>
      <w:sz w:val="16"/>
      <w:szCs w:val="16"/>
    </w:rPr>
  </w:style>
  <w:style w:type="paragraph" w:styleId="Tekstkomentarza">
    <w:name w:val="annotation text"/>
    <w:basedOn w:val="Normalny"/>
    <w:link w:val="TekstkomentarzaZnak"/>
    <w:uiPriority w:val="99"/>
    <w:semiHidden w:val="1"/>
    <w:unhideWhenUsed w:val="1"/>
    <w:rsid w:val="006559EE"/>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6559EE"/>
    <w:rPr>
      <w:sz w:val="20"/>
      <w:szCs w:val="20"/>
    </w:rPr>
  </w:style>
  <w:style w:type="paragraph" w:styleId="Tematkomentarza">
    <w:name w:val="annotation subject"/>
    <w:basedOn w:val="Tekstkomentarza"/>
    <w:next w:val="Tekstkomentarza"/>
    <w:link w:val="TematkomentarzaZnak"/>
    <w:uiPriority w:val="99"/>
    <w:semiHidden w:val="1"/>
    <w:unhideWhenUsed w:val="1"/>
    <w:rsid w:val="006559EE"/>
    <w:rPr>
      <w:b w:val="1"/>
      <w:bCs w:val="1"/>
    </w:rPr>
  </w:style>
  <w:style w:type="character" w:styleId="TematkomentarzaZnak" w:customStyle="1">
    <w:name w:val="Temat komentarza Znak"/>
    <w:basedOn w:val="TekstkomentarzaZnak"/>
    <w:link w:val="Tematkomentarza"/>
    <w:uiPriority w:val="99"/>
    <w:semiHidden w:val="1"/>
    <w:rsid w:val="006559EE"/>
    <w:rPr>
      <w:b w:val="1"/>
      <w:bCs w:val="1"/>
      <w:sz w:val="20"/>
      <w:szCs w:val="20"/>
    </w:rPr>
  </w:style>
  <w:style w:type="character" w:styleId="Hipercze">
    <w:name w:val="Hyperlink"/>
    <w:basedOn w:val="Domylnaczcionkaakapitu"/>
    <w:uiPriority w:val="99"/>
    <w:unhideWhenUsed w:val="1"/>
    <w:rsid w:val="006559EE"/>
    <w:rPr>
      <w:color w:val="0563c1" w:themeColor="hyperlink"/>
      <w:u w:val="single"/>
    </w:rPr>
  </w:style>
  <w:style w:type="character" w:styleId="Nierozpoznanawzmianka">
    <w:name w:val="Unresolved Mention"/>
    <w:basedOn w:val="Domylnaczcionkaakapitu"/>
    <w:uiPriority w:val="99"/>
    <w:semiHidden w:val="1"/>
    <w:unhideWhenUsed w:val="1"/>
    <w:rsid w:val="006559EE"/>
    <w:rPr>
      <w:color w:val="605e5c"/>
      <w:shd w:color="auto" w:fill="e1dfdd" w:val="clear"/>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drive/u/0/folders/1CCaVj_r6Qk-CqG7d6928z5uU3l1J5v-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gM6L98q/AfnT9Kui1a6MuyOEg==">CgMxLjA4AHIhMTRmQkFwX0p2Q2ZST0JFX3IxRWY3MVlZWThVc1c5Tk1D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Patient information</dc:title>
  <dc:subject>Cora AI patient document — EU — en</dc:subject>
  <cp:lastModifiedBy>Cora AI</cp:lastModifiedBy>
  <dc:language>en</dc:language>
  <dc:description/>
  <dcterms:modified xsi:type="dcterms:W3CDTF">2026-10-02T00:00:00Z</dcterms:modified>
</cp:coreProperties>
</file>